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023D51D6" w:rsidR="00487AC4" w:rsidRPr="00487AC4" w:rsidRDefault="006C08DD" w:rsidP="008350DF">
      <w:pPr>
        <w:jc w:val="center"/>
        <w:rPr>
          <w:rFonts w:ascii="Arial Rounded MT Bold" w:eastAsia="Calibri" w:hAnsi="Arial Rounded MT Bold" w:cs="Arial"/>
          <w:sz w:val="28"/>
          <w:szCs w:val="28"/>
          <w:lang w:val="fr-FR"/>
        </w:rPr>
      </w:pPr>
      <w:r w:rsidRPr="00EB749A">
        <w:rPr>
          <w:rFonts w:ascii="Arial Rounded MT Bold" w:eastAsia="Calibri" w:hAnsi="Arial Rounded MT Bold" w:cs="Arial"/>
          <w:sz w:val="28"/>
          <w:szCs w:val="28"/>
          <w:lang w:val="fr-FR"/>
        </w:rPr>
        <w:t>le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711EB2" w:rsidRPr="00711EB2">
        <w:rPr>
          <w:rFonts w:ascii="Arial Rounded MT Bold" w:eastAsia="Calibri" w:hAnsi="Arial Rounded MT Bold" w:cs="Arial"/>
          <w:sz w:val="28"/>
          <w:szCs w:val="28"/>
          <w:lang w:val="fr-FR"/>
        </w:rPr>
        <w:t>et d’accompagnement dans la mise en place d’un système de management de la sécurité de l’information conforme à la norme ISO 27001 version 2013 à l’Université Virtuelle de Tunis</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43AE60C9" w14:textId="77777777" w:rsidR="00711EB2" w:rsidRPr="00952C52" w:rsidRDefault="00711EB2" w:rsidP="00711EB2">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13C3E90C" w14:textId="77777777" w:rsidR="00711EB2" w:rsidRPr="00711EB2" w:rsidRDefault="00711EB2" w:rsidP="00711EB2">
      <w:pPr>
        <w:pStyle w:val="Text2"/>
        <w:spacing w:after="120"/>
        <w:ind w:left="0"/>
        <w:rPr>
          <w:rFonts w:cs="Arial"/>
          <w:b/>
          <w:bCs/>
        </w:rPr>
      </w:pPr>
      <w:bookmarkStart w:id="1" w:name="_Hlk32952421"/>
      <w:r w:rsidRPr="00711EB2">
        <w:rPr>
          <w:rFonts w:cs="Arial"/>
          <w:b/>
          <w:bCs/>
        </w:rPr>
        <w:lastRenderedPageBreak/>
        <w:t xml:space="preserve">Dans ce contexte et dans le cadre du PADGEV II, l’UVT va confier à un consultant individuel </w:t>
      </w:r>
      <w:bookmarkStart w:id="2" w:name="_Hlk32951703"/>
      <w:r w:rsidRPr="00711EB2">
        <w:rPr>
          <w:rFonts w:cs="Arial"/>
          <w:b/>
          <w:bCs/>
        </w:rPr>
        <w:t xml:space="preserve">la mission </w:t>
      </w:r>
      <w:bookmarkEnd w:id="2"/>
      <w:r w:rsidRPr="00711EB2">
        <w:rPr>
          <w:rFonts w:cs="Arial"/>
          <w:b/>
          <w:bCs/>
        </w:rPr>
        <w:t>d’assistance technique et d’accompagnement dans la mise en place d’un système de management de management de la sécurité de l’information (SMSI) conforme à la norme ISO 27001 version 2013 à l’Université Virtuelle de Tunis.</w:t>
      </w:r>
      <w:bookmarkEnd w:id="1"/>
    </w:p>
    <w:p w14:paraId="57F36A44" w14:textId="50AE9602" w:rsidR="008350DF" w:rsidRPr="008350DF" w:rsidRDefault="008350DF" w:rsidP="008350DF">
      <w:pPr>
        <w:pStyle w:val="Corpsdetexte3"/>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1DCE1EDE"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3A31FA">
        <w:rPr>
          <w:rFonts w:asciiTheme="minorBidi" w:eastAsia="Calibri" w:hAnsiTheme="minorBidi"/>
          <w:b/>
          <w:bCs/>
          <w:color w:val="000000"/>
          <w:sz w:val="20"/>
          <w:szCs w:val="20"/>
          <w:lang w:val="fr-FR"/>
        </w:rPr>
        <w:t>28 décem</w:t>
      </w:r>
      <w:r w:rsidR="008350DF">
        <w:rPr>
          <w:rFonts w:asciiTheme="minorBidi" w:eastAsia="Calibri" w:hAnsiTheme="minorBidi"/>
          <w:b/>
          <w:bCs/>
          <w:color w:val="000000"/>
          <w:sz w:val="20"/>
          <w:szCs w:val="20"/>
          <w:lang w:val="fr-FR"/>
        </w:rPr>
        <w:t>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78C32A65" w14:textId="33451320" w:rsidR="00711EB2" w:rsidRDefault="008350DF" w:rsidP="00711EB2">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 xml:space="preserve">Manifestation d’intérêt pour la mission d’Assistance technique </w:t>
      </w:r>
      <w:r w:rsidR="00711EB2" w:rsidRPr="00711EB2">
        <w:rPr>
          <w:rFonts w:ascii="Calibri,BoldItalic" w:eastAsia="Calibri" w:hAnsi="Calibri,BoldItalic" w:cs="Calibri,BoldItalic"/>
          <w:b/>
          <w:bCs/>
          <w:i/>
          <w:iCs/>
          <w:color w:val="000000"/>
          <w:lang w:val="fr-FR"/>
        </w:rPr>
        <w:t>et d’accompagnement dans la mise en place d’un système de management de la sécurité de l’information conforme à la norme ISO 27001 version 2013 à l’Université Virtuelle de Tunis</w:t>
      </w:r>
      <w:r w:rsidR="00711EB2">
        <w:rPr>
          <w:rFonts w:ascii="Calibri,BoldItalic" w:eastAsia="Calibri" w:hAnsi="Calibri,BoldItalic" w:cs="Calibri,BoldItalic"/>
          <w:b/>
          <w:bCs/>
          <w:i/>
          <w:iCs/>
          <w:color w:val="000000"/>
          <w:lang w:val="fr-FR"/>
        </w:rPr>
        <w:t>.</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9F49D" w14:textId="77777777" w:rsidR="00BA679D" w:rsidRDefault="00BA679D" w:rsidP="00E70D90">
      <w:pPr>
        <w:spacing w:after="0" w:line="240" w:lineRule="auto"/>
      </w:pPr>
      <w:r>
        <w:separator/>
      </w:r>
    </w:p>
  </w:endnote>
  <w:endnote w:type="continuationSeparator" w:id="0">
    <w:p w14:paraId="0417F617" w14:textId="77777777" w:rsidR="00BA679D" w:rsidRDefault="00BA679D"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5F091" w14:textId="77777777" w:rsidR="00BA679D" w:rsidRDefault="00BA679D" w:rsidP="00E70D90">
      <w:pPr>
        <w:spacing w:after="0" w:line="240" w:lineRule="auto"/>
      </w:pPr>
      <w:r>
        <w:separator/>
      </w:r>
    </w:p>
  </w:footnote>
  <w:footnote w:type="continuationSeparator" w:id="0">
    <w:p w14:paraId="3F344C13" w14:textId="77777777" w:rsidR="00BA679D" w:rsidRDefault="00BA679D"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053FEC"/>
    <w:rsid w:val="000D4F8D"/>
    <w:rsid w:val="0015019C"/>
    <w:rsid w:val="001D5A68"/>
    <w:rsid w:val="00210CD3"/>
    <w:rsid w:val="002B0878"/>
    <w:rsid w:val="002B7C28"/>
    <w:rsid w:val="002E452B"/>
    <w:rsid w:val="00350ADF"/>
    <w:rsid w:val="003A31FA"/>
    <w:rsid w:val="00487AC4"/>
    <w:rsid w:val="004E250C"/>
    <w:rsid w:val="005469BA"/>
    <w:rsid w:val="00547F82"/>
    <w:rsid w:val="0055770F"/>
    <w:rsid w:val="005B0863"/>
    <w:rsid w:val="005B1D47"/>
    <w:rsid w:val="00663502"/>
    <w:rsid w:val="00664FF0"/>
    <w:rsid w:val="006A5157"/>
    <w:rsid w:val="006B2A2C"/>
    <w:rsid w:val="006C08DD"/>
    <w:rsid w:val="006F4D76"/>
    <w:rsid w:val="00711EB2"/>
    <w:rsid w:val="007357A8"/>
    <w:rsid w:val="00774481"/>
    <w:rsid w:val="00784981"/>
    <w:rsid w:val="008350DF"/>
    <w:rsid w:val="008A2228"/>
    <w:rsid w:val="008B2BC3"/>
    <w:rsid w:val="008E3E92"/>
    <w:rsid w:val="009033A3"/>
    <w:rsid w:val="00990C83"/>
    <w:rsid w:val="009B2CDE"/>
    <w:rsid w:val="009B4883"/>
    <w:rsid w:val="00A12E0C"/>
    <w:rsid w:val="00A45B64"/>
    <w:rsid w:val="00AC2431"/>
    <w:rsid w:val="00AC6C6A"/>
    <w:rsid w:val="00AF03F0"/>
    <w:rsid w:val="00AF0DBE"/>
    <w:rsid w:val="00B03764"/>
    <w:rsid w:val="00B06E62"/>
    <w:rsid w:val="00B32B32"/>
    <w:rsid w:val="00B36C0C"/>
    <w:rsid w:val="00B63330"/>
    <w:rsid w:val="00BA679D"/>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foued Ben Amara</cp:lastModifiedBy>
  <cp:revision>5</cp:revision>
  <dcterms:created xsi:type="dcterms:W3CDTF">2020-10-16T07:59:00Z</dcterms:created>
  <dcterms:modified xsi:type="dcterms:W3CDTF">2020-12-08T08:06:00Z</dcterms:modified>
</cp:coreProperties>
</file>